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1C8B481" w:rsidR="000351C5" w:rsidRPr="00D20B8C" w:rsidRDefault="00FD1F60">
            <w:pPr>
              <w:rPr>
                <w:rFonts w:ascii="Aptos" w:hAnsi="Aptos" w:cstheme="majorHAnsi"/>
                <w:b/>
                <w:bCs/>
              </w:rPr>
            </w:pPr>
            <w:r>
              <w:rPr>
                <w:rFonts w:ascii="Aptos" w:hAnsi="Aptos" w:cstheme="majorHAnsi"/>
                <w:b/>
                <w:bCs/>
              </w:rPr>
              <w:t>Commercial Finance Manager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2B076F9C" w:rsidR="009328AE" w:rsidRPr="00D20B8C" w:rsidRDefault="00FD1F60" w:rsidP="009328AE">
            <w:pPr>
              <w:rPr>
                <w:rFonts w:ascii="Aptos" w:hAnsi="Aptos" w:cstheme="majorHAnsi"/>
                <w:b/>
                <w:bCs/>
              </w:rPr>
            </w:pPr>
            <w:r>
              <w:rPr>
                <w:rFonts w:ascii="Aptos" w:hAnsi="Aptos" w:cstheme="majorHAnsi"/>
                <w:b/>
                <w:bCs/>
              </w:rPr>
              <w:t>Head of Commercial Finance</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462DE61A" w:rsidR="000351C5" w:rsidRPr="00D20B8C" w:rsidRDefault="00EB40D2" w:rsidP="008B3117">
            <w:pPr>
              <w:shd w:val="clear" w:color="auto" w:fill="FFFFFF"/>
              <w:spacing w:after="192"/>
              <w:rPr>
                <w:rFonts w:ascii="Aptos" w:eastAsia="Times New Roman" w:hAnsi="Aptos" w:cstheme="majorHAnsi"/>
                <w:color w:val="000000"/>
                <w:lang w:eastAsia="en-GB"/>
              </w:rPr>
            </w:pPr>
            <w:r>
              <w:rPr>
                <w:rFonts w:ascii="Aptos" w:eastAsia="Times New Roman" w:hAnsi="Aptos" w:cstheme="majorHAnsi"/>
                <w:color w:val="000000"/>
                <w:lang w:eastAsia="en-GB"/>
              </w:rPr>
              <w:t xml:space="preserve">Reporting into the Head of Commercial Finance the Commercial Finance Manager will take full responsibility for reporting on the commercial performance of the care homes under their given remit. </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74CEFD80" w14:textId="77777777" w:rsidR="00FD1F60" w:rsidRDefault="00FD1F60" w:rsidP="00FD1F60">
            <w:pPr>
              <w:pStyle w:val="NormalWeb"/>
              <w:numPr>
                <w:ilvl w:val="0"/>
                <w:numId w:val="35"/>
              </w:numPr>
              <w:rPr>
                <w:rFonts w:ascii="Aptos" w:hAnsi="Aptos"/>
                <w:color w:val="000000"/>
                <w:sz w:val="22"/>
                <w:szCs w:val="22"/>
              </w:rPr>
            </w:pPr>
            <w:r w:rsidRPr="00FD1F60">
              <w:rPr>
                <w:rFonts w:ascii="Aptos" w:hAnsi="Aptos"/>
                <w:color w:val="000000"/>
                <w:sz w:val="22"/>
                <w:szCs w:val="22"/>
              </w:rPr>
              <w:t>Full P&amp;L for each care home, with supporting balance sheet reconciliations</w:t>
            </w:r>
          </w:p>
          <w:p w14:paraId="4A8C76D1" w14:textId="239A42E6" w:rsidR="00FD1F60" w:rsidRDefault="00FD1F60" w:rsidP="00FD1F60">
            <w:pPr>
              <w:pStyle w:val="NormalWeb"/>
              <w:numPr>
                <w:ilvl w:val="0"/>
                <w:numId w:val="35"/>
              </w:numPr>
              <w:rPr>
                <w:rFonts w:ascii="Aptos" w:hAnsi="Aptos"/>
                <w:color w:val="000000"/>
                <w:sz w:val="22"/>
                <w:szCs w:val="22"/>
              </w:rPr>
            </w:pPr>
            <w:r w:rsidRPr="00FD1F60">
              <w:rPr>
                <w:rFonts w:ascii="Aptos" w:hAnsi="Aptos"/>
                <w:color w:val="000000"/>
                <w:sz w:val="22"/>
                <w:szCs w:val="22"/>
              </w:rPr>
              <w:t>Review and investigation of all variances to budget including discussions with the</w:t>
            </w:r>
            <w:r w:rsidR="00126EB9">
              <w:rPr>
                <w:rFonts w:ascii="Aptos" w:hAnsi="Aptos"/>
                <w:color w:val="000000"/>
                <w:sz w:val="22"/>
                <w:szCs w:val="22"/>
              </w:rPr>
              <w:t xml:space="preserve"> General</w:t>
            </w:r>
            <w:r w:rsidRPr="00FD1F60">
              <w:rPr>
                <w:rFonts w:ascii="Aptos" w:hAnsi="Aptos"/>
                <w:color w:val="000000"/>
                <w:sz w:val="22"/>
                <w:szCs w:val="22"/>
              </w:rPr>
              <w:t xml:space="preserve"> </w:t>
            </w:r>
            <w:r w:rsidR="00126EB9">
              <w:rPr>
                <w:rFonts w:ascii="Aptos" w:hAnsi="Aptos"/>
                <w:color w:val="000000"/>
                <w:sz w:val="22"/>
                <w:szCs w:val="22"/>
              </w:rPr>
              <w:t>M</w:t>
            </w:r>
            <w:r w:rsidRPr="00FD1F60">
              <w:rPr>
                <w:rFonts w:ascii="Aptos" w:hAnsi="Aptos"/>
                <w:color w:val="000000"/>
                <w:sz w:val="22"/>
                <w:szCs w:val="22"/>
              </w:rPr>
              <w:t xml:space="preserve">anager and Regional </w:t>
            </w:r>
            <w:r w:rsidR="00126EB9">
              <w:rPr>
                <w:rFonts w:ascii="Aptos" w:hAnsi="Aptos"/>
                <w:color w:val="000000"/>
                <w:sz w:val="22"/>
                <w:szCs w:val="22"/>
              </w:rPr>
              <w:t>Director</w:t>
            </w:r>
          </w:p>
          <w:p w14:paraId="2D914BD5" w14:textId="77777777" w:rsidR="00FD1F60" w:rsidRDefault="00FD1F60" w:rsidP="00FD1F60">
            <w:pPr>
              <w:pStyle w:val="NormalWeb"/>
              <w:numPr>
                <w:ilvl w:val="0"/>
                <w:numId w:val="35"/>
              </w:numPr>
              <w:rPr>
                <w:rFonts w:ascii="Aptos" w:hAnsi="Aptos"/>
                <w:color w:val="000000"/>
                <w:sz w:val="22"/>
                <w:szCs w:val="22"/>
              </w:rPr>
            </w:pPr>
            <w:r w:rsidRPr="00FD1F60">
              <w:rPr>
                <w:rFonts w:ascii="Aptos" w:hAnsi="Aptos"/>
                <w:color w:val="000000"/>
                <w:sz w:val="22"/>
                <w:szCs w:val="22"/>
              </w:rPr>
              <w:t>Presenting the management accounts to the CFO for review</w:t>
            </w:r>
          </w:p>
          <w:p w14:paraId="2E0EAF11" w14:textId="76261219" w:rsidR="00FD1F60" w:rsidRDefault="00FD1F60" w:rsidP="00FD1F60">
            <w:pPr>
              <w:pStyle w:val="NormalWeb"/>
              <w:numPr>
                <w:ilvl w:val="0"/>
                <w:numId w:val="35"/>
              </w:numPr>
              <w:rPr>
                <w:rFonts w:ascii="Aptos" w:hAnsi="Aptos"/>
                <w:color w:val="000000"/>
                <w:sz w:val="22"/>
                <w:szCs w:val="22"/>
              </w:rPr>
            </w:pPr>
            <w:r w:rsidRPr="00FD1F60">
              <w:rPr>
                <w:rFonts w:ascii="Aptos" w:hAnsi="Aptos"/>
                <w:color w:val="000000"/>
                <w:sz w:val="22"/>
                <w:szCs w:val="22"/>
              </w:rPr>
              <w:t>Production of SOX control evidence</w:t>
            </w:r>
          </w:p>
          <w:p w14:paraId="2BC1BDDF" w14:textId="77777777" w:rsidR="00126EB9" w:rsidRPr="00126EB9" w:rsidRDefault="00126EB9" w:rsidP="00126EB9">
            <w:pPr>
              <w:pStyle w:val="NormalWeb"/>
              <w:numPr>
                <w:ilvl w:val="0"/>
                <w:numId w:val="35"/>
              </w:numPr>
              <w:rPr>
                <w:rFonts w:ascii="Aptos" w:hAnsi="Aptos"/>
                <w:color w:val="000000"/>
                <w:sz w:val="22"/>
                <w:szCs w:val="22"/>
              </w:rPr>
            </w:pPr>
            <w:r w:rsidRPr="00126EB9">
              <w:rPr>
                <w:rFonts w:ascii="Aptos" w:hAnsi="Aptos"/>
                <w:color w:val="000000"/>
                <w:sz w:val="22"/>
                <w:szCs w:val="22"/>
              </w:rPr>
              <w:t>Responsible for the production and accuracy of the Weekly Reporting for the Group, distributed to the Directors and Senior Managers. Investigating any unusual variances to previous week or budget.</w:t>
            </w:r>
          </w:p>
          <w:p w14:paraId="429DE48F" w14:textId="77777777" w:rsidR="00126EB9" w:rsidRPr="00126EB9" w:rsidRDefault="00126EB9" w:rsidP="00126EB9">
            <w:pPr>
              <w:pStyle w:val="NormalWeb"/>
              <w:numPr>
                <w:ilvl w:val="0"/>
                <w:numId w:val="35"/>
              </w:numPr>
              <w:rPr>
                <w:rFonts w:ascii="Aptos" w:hAnsi="Aptos"/>
                <w:color w:val="000000"/>
                <w:sz w:val="22"/>
                <w:szCs w:val="22"/>
              </w:rPr>
            </w:pPr>
            <w:r w:rsidRPr="00126EB9">
              <w:rPr>
                <w:rFonts w:ascii="Aptos" w:hAnsi="Aptos"/>
                <w:color w:val="000000"/>
                <w:sz w:val="22"/>
                <w:szCs w:val="22"/>
              </w:rPr>
              <w:t>Responsible for production and accuracy of the monthly Welltower Investor reporting pack, ensuring all reporting ties back to the finalised management accounts and ensuring all deadlines are met in accordance with our reporting requirements.</w:t>
            </w:r>
          </w:p>
          <w:p w14:paraId="3E5625E7" w14:textId="77777777" w:rsidR="00126EB9" w:rsidRPr="00126EB9" w:rsidRDefault="00126EB9" w:rsidP="00126EB9">
            <w:pPr>
              <w:pStyle w:val="NormalWeb"/>
              <w:numPr>
                <w:ilvl w:val="0"/>
                <w:numId w:val="35"/>
              </w:numPr>
              <w:rPr>
                <w:rFonts w:ascii="Aptos" w:hAnsi="Aptos"/>
                <w:color w:val="000000"/>
                <w:sz w:val="22"/>
                <w:szCs w:val="22"/>
              </w:rPr>
            </w:pPr>
            <w:r w:rsidRPr="00126EB9">
              <w:rPr>
                <w:rFonts w:ascii="Aptos" w:hAnsi="Aptos"/>
                <w:color w:val="000000"/>
                <w:sz w:val="22"/>
                <w:szCs w:val="22"/>
              </w:rPr>
              <w:t>Completion of VAT and CIS Returns across the Avery Group where required</w:t>
            </w:r>
          </w:p>
          <w:p w14:paraId="09F8F499" w14:textId="77777777" w:rsidR="00126EB9" w:rsidRPr="00126EB9" w:rsidRDefault="00126EB9" w:rsidP="00126EB9">
            <w:pPr>
              <w:pStyle w:val="NormalWeb"/>
              <w:numPr>
                <w:ilvl w:val="0"/>
                <w:numId w:val="35"/>
              </w:numPr>
              <w:rPr>
                <w:rFonts w:ascii="Aptos" w:hAnsi="Aptos"/>
                <w:color w:val="000000"/>
                <w:sz w:val="22"/>
                <w:szCs w:val="22"/>
              </w:rPr>
            </w:pPr>
            <w:r w:rsidRPr="00126EB9">
              <w:rPr>
                <w:rFonts w:ascii="Aptos" w:hAnsi="Aptos"/>
                <w:color w:val="000000"/>
                <w:sz w:val="22"/>
                <w:szCs w:val="22"/>
              </w:rPr>
              <w:t>Preparation of annual budget for the care homes within the Group including:</w:t>
            </w:r>
          </w:p>
          <w:p w14:paraId="2ECC57B7" w14:textId="18523B04" w:rsidR="00126EB9" w:rsidRPr="00126EB9" w:rsidRDefault="00126EB9" w:rsidP="00126EB9">
            <w:pPr>
              <w:pStyle w:val="NormalWeb"/>
              <w:numPr>
                <w:ilvl w:val="1"/>
                <w:numId w:val="35"/>
              </w:numPr>
              <w:rPr>
                <w:rFonts w:ascii="Aptos" w:hAnsi="Aptos"/>
                <w:color w:val="000000"/>
                <w:sz w:val="22"/>
                <w:szCs w:val="22"/>
              </w:rPr>
            </w:pPr>
            <w:r w:rsidRPr="00126EB9">
              <w:rPr>
                <w:rFonts w:ascii="Aptos" w:hAnsi="Aptos"/>
                <w:color w:val="000000"/>
                <w:sz w:val="22"/>
                <w:szCs w:val="22"/>
              </w:rPr>
              <w:t xml:space="preserve">Participation in the budget setting meetings with Regional </w:t>
            </w:r>
            <w:r w:rsidR="000D4BBB">
              <w:rPr>
                <w:rFonts w:ascii="Aptos" w:hAnsi="Aptos"/>
                <w:color w:val="000000"/>
                <w:sz w:val="22"/>
                <w:szCs w:val="22"/>
              </w:rPr>
              <w:t>Director</w:t>
            </w:r>
            <w:r w:rsidRPr="00126EB9">
              <w:rPr>
                <w:rFonts w:ascii="Aptos" w:hAnsi="Aptos"/>
                <w:color w:val="000000"/>
                <w:sz w:val="22"/>
                <w:szCs w:val="22"/>
              </w:rPr>
              <w:t xml:space="preserve"> and Operations Director</w:t>
            </w:r>
          </w:p>
          <w:p w14:paraId="704DE1EB" w14:textId="3EE4A32C" w:rsidR="00126EB9" w:rsidRPr="00126EB9" w:rsidRDefault="00126EB9" w:rsidP="00126EB9">
            <w:pPr>
              <w:pStyle w:val="NormalWeb"/>
              <w:numPr>
                <w:ilvl w:val="1"/>
                <w:numId w:val="35"/>
              </w:numPr>
              <w:rPr>
                <w:rFonts w:ascii="Aptos" w:hAnsi="Aptos"/>
                <w:color w:val="000000"/>
                <w:sz w:val="22"/>
                <w:szCs w:val="22"/>
              </w:rPr>
            </w:pPr>
            <w:r w:rsidRPr="00126EB9">
              <w:rPr>
                <w:rFonts w:ascii="Aptos" w:hAnsi="Aptos"/>
                <w:color w:val="000000"/>
                <w:sz w:val="22"/>
                <w:szCs w:val="22"/>
              </w:rPr>
              <w:t xml:space="preserve">Influencing the Operations teams budget decisions with a </w:t>
            </w:r>
            <w:r w:rsidR="000D4BBB" w:rsidRPr="00126EB9">
              <w:rPr>
                <w:rFonts w:ascii="Aptos" w:hAnsi="Aptos"/>
                <w:color w:val="000000"/>
                <w:sz w:val="22"/>
                <w:szCs w:val="22"/>
              </w:rPr>
              <w:t>financial</w:t>
            </w:r>
            <w:r w:rsidRPr="00126EB9">
              <w:rPr>
                <w:rFonts w:ascii="Aptos" w:hAnsi="Aptos"/>
                <w:color w:val="000000"/>
                <w:sz w:val="22"/>
                <w:szCs w:val="22"/>
              </w:rPr>
              <w:t xml:space="preserve"> viewpoint, whilst considering the impact this may have on the home and </w:t>
            </w:r>
            <w:proofErr w:type="gramStart"/>
            <w:r w:rsidRPr="00126EB9">
              <w:rPr>
                <w:rFonts w:ascii="Aptos" w:hAnsi="Aptos"/>
                <w:color w:val="000000"/>
                <w:sz w:val="22"/>
                <w:szCs w:val="22"/>
              </w:rPr>
              <w:t>it’s</w:t>
            </w:r>
            <w:proofErr w:type="gramEnd"/>
            <w:r w:rsidRPr="00126EB9">
              <w:rPr>
                <w:rFonts w:ascii="Aptos" w:hAnsi="Aptos"/>
                <w:color w:val="000000"/>
                <w:sz w:val="22"/>
                <w:szCs w:val="22"/>
              </w:rPr>
              <w:t xml:space="preserve"> residents.</w:t>
            </w:r>
          </w:p>
          <w:p w14:paraId="76E0D76C" w14:textId="2D320E98" w:rsidR="00126EB9" w:rsidRPr="00126EB9" w:rsidRDefault="00126EB9" w:rsidP="00126EB9">
            <w:pPr>
              <w:pStyle w:val="NormalWeb"/>
              <w:numPr>
                <w:ilvl w:val="1"/>
                <w:numId w:val="35"/>
              </w:numPr>
              <w:rPr>
                <w:rFonts w:ascii="Aptos" w:hAnsi="Aptos"/>
                <w:color w:val="000000"/>
                <w:sz w:val="22"/>
                <w:szCs w:val="22"/>
              </w:rPr>
            </w:pPr>
            <w:r w:rsidRPr="00126EB9">
              <w:rPr>
                <w:rFonts w:ascii="Aptos" w:hAnsi="Aptos"/>
                <w:color w:val="000000"/>
                <w:sz w:val="22"/>
                <w:szCs w:val="22"/>
              </w:rPr>
              <w:t>Reviewing budgets against prior year and budgets and actual performance and commenting on major variances</w:t>
            </w:r>
          </w:p>
          <w:p w14:paraId="7DEFB1BA" w14:textId="747A341A" w:rsidR="00BE5DBD" w:rsidRPr="00126EB9" w:rsidRDefault="00126EB9" w:rsidP="00126EB9">
            <w:pPr>
              <w:pStyle w:val="NormalWeb"/>
              <w:numPr>
                <w:ilvl w:val="0"/>
                <w:numId w:val="35"/>
              </w:numPr>
              <w:rPr>
                <w:rFonts w:ascii="Aptos" w:hAnsi="Aptos"/>
                <w:color w:val="000000"/>
                <w:sz w:val="22"/>
                <w:szCs w:val="22"/>
              </w:rPr>
            </w:pPr>
            <w:r w:rsidRPr="00126EB9">
              <w:rPr>
                <w:rFonts w:ascii="Aptos" w:hAnsi="Aptos"/>
                <w:color w:val="000000"/>
                <w:sz w:val="22"/>
                <w:szCs w:val="22"/>
              </w:rPr>
              <w:t xml:space="preserve">Leading </w:t>
            </w:r>
            <w:proofErr w:type="spellStart"/>
            <w:r w:rsidRPr="00126EB9">
              <w:rPr>
                <w:rFonts w:ascii="Aptos" w:hAnsi="Aptos"/>
                <w:color w:val="000000"/>
                <w:sz w:val="22"/>
                <w:szCs w:val="22"/>
              </w:rPr>
              <w:t>adhoc</w:t>
            </w:r>
            <w:proofErr w:type="spellEnd"/>
            <w:r w:rsidRPr="00126EB9">
              <w:rPr>
                <w:rFonts w:ascii="Aptos" w:hAnsi="Aptos"/>
                <w:color w:val="000000"/>
                <w:sz w:val="22"/>
                <w:szCs w:val="22"/>
              </w:rPr>
              <w:t xml:space="preserve"> projects as they arise, this can vary from the introduction of a new process across all homes to a deep dive investigation into an individual home on specific financial issue</w:t>
            </w:r>
            <w:r>
              <w:rPr>
                <w:rFonts w:ascii="Aptos" w:hAnsi="Aptos"/>
                <w:color w:val="000000"/>
                <w:sz w:val="22"/>
                <w:szCs w:val="22"/>
              </w:rPr>
              <w:t>s</w:t>
            </w: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3C1542F3" w:rsidR="00D92205" w:rsidRPr="000D4BBB" w:rsidRDefault="000D4BBB" w:rsidP="004A5D83">
            <w:pPr>
              <w:jc w:val="center"/>
              <w:rPr>
                <w:rFonts w:ascii="Aptos" w:hAnsi="Aptos" w:cstheme="majorHAnsi"/>
              </w:rPr>
            </w:pPr>
            <w:r w:rsidRPr="000D4BBB">
              <w:rPr>
                <w:rFonts w:ascii="Aptos" w:hAnsi="Aptos"/>
                <w:color w:val="000000"/>
              </w:rPr>
              <w:t>Experience of improving systems and processes, with consideration for the impact this has on the operation.</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5ED0052" w:rsidR="00D92205" w:rsidRPr="00D20B8C" w:rsidRDefault="00EB40D2" w:rsidP="001937CD">
            <w:pPr>
              <w:jc w:val="center"/>
              <w:rPr>
                <w:rFonts w:ascii="Aptos" w:hAnsi="Aptos" w:cstheme="majorHAnsi"/>
                <w:highlight w:val="yellow"/>
                <w:lang w:eastAsia="en-GB"/>
              </w:rPr>
            </w:pPr>
            <w:r w:rsidRPr="00EB40D2">
              <w:rPr>
                <w:rFonts w:ascii="Aptos" w:hAnsi="Aptos" w:cstheme="majorHAnsi"/>
                <w:lang w:eastAsia="en-GB"/>
              </w:rPr>
              <w:t>E</w:t>
            </w:r>
          </w:p>
        </w:tc>
        <w:tc>
          <w:tcPr>
            <w:tcW w:w="3005" w:type="dxa"/>
            <w:tcBorders>
              <w:top w:val="single" w:sz="4" w:space="0" w:color="auto"/>
              <w:left w:val="nil"/>
              <w:bottom w:val="single" w:sz="4" w:space="0" w:color="auto"/>
            </w:tcBorders>
            <w:vAlign w:val="center"/>
          </w:tcPr>
          <w:p w14:paraId="5A24E3B9" w14:textId="6E269685" w:rsidR="00D92205" w:rsidRPr="00D20B8C" w:rsidRDefault="00D92205" w:rsidP="001937CD">
            <w:pPr>
              <w:jc w:val="center"/>
              <w:rPr>
                <w:rFonts w:ascii="Aptos" w:hAnsi="Aptos" w:cstheme="majorHAnsi"/>
                <w:lang w:eastAsia="en-GB"/>
              </w:rPr>
            </w:pPr>
          </w:p>
        </w:tc>
      </w:tr>
      <w:tr w:rsidR="00E944B7" w:rsidRPr="00D20B8C" w14:paraId="2F672376" w14:textId="77777777" w:rsidTr="00E944B7">
        <w:trPr>
          <w:jc w:val="center"/>
        </w:trPr>
        <w:tc>
          <w:tcPr>
            <w:tcW w:w="3006" w:type="dxa"/>
            <w:shd w:val="clear" w:color="auto" w:fill="auto"/>
          </w:tcPr>
          <w:p w14:paraId="0B86134E" w14:textId="7F493115" w:rsidR="00E944B7" w:rsidRPr="00EB40D2" w:rsidRDefault="00EB40D2" w:rsidP="004A5D83">
            <w:pPr>
              <w:jc w:val="center"/>
              <w:rPr>
                <w:rFonts w:ascii="Aptos" w:hAnsi="Aptos" w:cstheme="majorHAnsi"/>
                <w:bCs/>
              </w:rPr>
            </w:pPr>
            <w:r w:rsidRPr="00EB40D2">
              <w:rPr>
                <w:rFonts w:ascii="Aptos" w:hAnsi="Aptos" w:cstheme="majorHAnsi"/>
                <w:bCs/>
              </w:rPr>
              <w:t>Experience of working within a similar role across a multi-site operation</w:t>
            </w:r>
          </w:p>
        </w:tc>
        <w:tc>
          <w:tcPr>
            <w:tcW w:w="3005" w:type="dxa"/>
            <w:shd w:val="clear" w:color="auto" w:fill="auto"/>
          </w:tcPr>
          <w:p w14:paraId="319F5647" w14:textId="60320FD8" w:rsidR="00E944B7" w:rsidRPr="00EB40D2" w:rsidRDefault="00EB40D2" w:rsidP="000835D1">
            <w:pPr>
              <w:jc w:val="center"/>
              <w:rPr>
                <w:rFonts w:ascii="Aptos" w:hAnsi="Aptos" w:cstheme="majorHAnsi"/>
                <w:bCs/>
              </w:rPr>
            </w:pPr>
            <w:r w:rsidRPr="00EB40D2">
              <w:rPr>
                <w:rFonts w:ascii="Aptos" w:hAnsi="Aptos" w:cstheme="majorHAnsi"/>
                <w:bCs/>
              </w:rPr>
              <w:t>E</w:t>
            </w:r>
          </w:p>
        </w:tc>
        <w:tc>
          <w:tcPr>
            <w:tcW w:w="3005" w:type="dxa"/>
            <w:shd w:val="clear" w:color="auto" w:fill="auto"/>
          </w:tcPr>
          <w:p w14:paraId="48BDAB73" w14:textId="5969622D" w:rsidR="00E944B7" w:rsidRPr="00D20B8C" w:rsidRDefault="00E944B7" w:rsidP="000835D1">
            <w:pPr>
              <w:jc w:val="center"/>
              <w:rPr>
                <w:rFonts w:ascii="Aptos" w:hAnsi="Aptos" w:cstheme="majorHAnsi"/>
                <w:b/>
              </w:rPr>
            </w:pP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6E25445" w14:textId="1355CE33" w:rsidR="00F8322A" w:rsidRPr="000D4BBB" w:rsidRDefault="000D4BBB" w:rsidP="004A5D83">
            <w:pPr>
              <w:jc w:val="center"/>
              <w:rPr>
                <w:rFonts w:ascii="Aptos" w:hAnsi="Aptos" w:cstheme="majorHAnsi"/>
              </w:rPr>
            </w:pPr>
            <w:r w:rsidRPr="000D4BBB">
              <w:rPr>
                <w:rFonts w:ascii="Aptos" w:hAnsi="Aptos"/>
                <w:color w:val="000000"/>
              </w:rPr>
              <w:lastRenderedPageBreak/>
              <w:t>Accurate, diligent and able to stick to strict deadlines are essential traits required to ensure we meet our reporting requirements.</w:t>
            </w:r>
          </w:p>
        </w:tc>
        <w:tc>
          <w:tcPr>
            <w:tcW w:w="3005" w:type="dxa"/>
            <w:vAlign w:val="center"/>
          </w:tcPr>
          <w:p w14:paraId="13C7CB63" w14:textId="7B96CB4D" w:rsidR="00F8322A" w:rsidRPr="00D20B8C" w:rsidRDefault="00EB40D2" w:rsidP="00F8322A">
            <w:pPr>
              <w:jc w:val="center"/>
              <w:rPr>
                <w:rFonts w:ascii="Aptos" w:hAnsi="Aptos" w:cstheme="majorHAnsi"/>
                <w:highlight w:val="yellow"/>
              </w:rPr>
            </w:pPr>
            <w:r w:rsidRPr="00EB40D2">
              <w:rPr>
                <w:rFonts w:ascii="Aptos" w:hAnsi="Aptos" w:cstheme="majorHAnsi"/>
              </w:rPr>
              <w:t>E</w:t>
            </w:r>
          </w:p>
        </w:tc>
        <w:tc>
          <w:tcPr>
            <w:tcW w:w="3005" w:type="dxa"/>
            <w:vAlign w:val="center"/>
          </w:tcPr>
          <w:p w14:paraId="72D25327" w14:textId="46C6701B" w:rsidR="00F8322A" w:rsidRPr="00D20B8C" w:rsidRDefault="00F8322A" w:rsidP="00F8322A">
            <w:pPr>
              <w:jc w:val="center"/>
              <w:rPr>
                <w:rFonts w:ascii="Aptos" w:hAnsi="Aptos" w:cstheme="majorHAnsi"/>
              </w:rPr>
            </w:pPr>
          </w:p>
        </w:tc>
      </w:tr>
      <w:tr w:rsidR="00F8322A" w:rsidRPr="00D20B8C" w14:paraId="231DE75B" w14:textId="77777777" w:rsidTr="00E944B7">
        <w:trPr>
          <w:trHeight w:val="605"/>
          <w:jc w:val="center"/>
        </w:trPr>
        <w:tc>
          <w:tcPr>
            <w:tcW w:w="3006" w:type="dxa"/>
          </w:tcPr>
          <w:p w14:paraId="11DAAB9F" w14:textId="1170040F" w:rsidR="00F8322A" w:rsidRPr="00D20B8C" w:rsidRDefault="000D4BBB" w:rsidP="004A5D83">
            <w:pPr>
              <w:jc w:val="center"/>
              <w:rPr>
                <w:rFonts w:ascii="Aptos" w:hAnsi="Aptos" w:cstheme="majorHAnsi"/>
              </w:rPr>
            </w:pPr>
            <w:r w:rsidRPr="000D4BBB">
              <w:rPr>
                <w:rFonts w:ascii="Aptos" w:hAnsi="Aptos"/>
                <w:color w:val="000000"/>
              </w:rPr>
              <w:t>Proactive individual, willing to challenge the operations team and take ownership for improving the financial performance in the home.</w:t>
            </w:r>
          </w:p>
        </w:tc>
        <w:tc>
          <w:tcPr>
            <w:tcW w:w="3005" w:type="dxa"/>
            <w:vAlign w:val="center"/>
          </w:tcPr>
          <w:p w14:paraId="0CF6B59A" w14:textId="63023026" w:rsidR="00F8322A" w:rsidRPr="00D20B8C" w:rsidRDefault="00EB40D2" w:rsidP="00F8322A">
            <w:pPr>
              <w:jc w:val="center"/>
              <w:rPr>
                <w:rFonts w:ascii="Aptos" w:hAnsi="Aptos" w:cstheme="majorHAnsi"/>
              </w:rPr>
            </w:pPr>
            <w:r>
              <w:rPr>
                <w:rFonts w:ascii="Aptos" w:hAnsi="Aptos" w:cstheme="majorHAnsi"/>
              </w:rPr>
              <w:t>E</w:t>
            </w:r>
          </w:p>
        </w:tc>
        <w:tc>
          <w:tcPr>
            <w:tcW w:w="3005" w:type="dxa"/>
            <w:vAlign w:val="center"/>
          </w:tcPr>
          <w:p w14:paraId="6FA18951" w14:textId="49E0C8B7" w:rsidR="00F8322A" w:rsidRPr="00D20B8C" w:rsidRDefault="00F8322A" w:rsidP="00F8322A">
            <w:pPr>
              <w:jc w:val="center"/>
              <w:rPr>
                <w:rFonts w:ascii="Aptos" w:hAnsi="Aptos" w:cstheme="majorHAnsi"/>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513C" w14:textId="77777777" w:rsidR="003713D7" w:rsidRDefault="003713D7" w:rsidP="00922111">
      <w:pPr>
        <w:spacing w:after="0" w:line="240" w:lineRule="auto"/>
      </w:pPr>
      <w:r>
        <w:separator/>
      </w:r>
    </w:p>
  </w:endnote>
  <w:endnote w:type="continuationSeparator" w:id="0">
    <w:p w14:paraId="48963640" w14:textId="77777777" w:rsidR="003713D7" w:rsidRDefault="003713D7"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5CEF" w14:textId="77777777" w:rsidR="003713D7" w:rsidRDefault="003713D7" w:rsidP="00922111">
      <w:pPr>
        <w:spacing w:after="0" w:line="240" w:lineRule="auto"/>
      </w:pPr>
      <w:r>
        <w:separator/>
      </w:r>
    </w:p>
  </w:footnote>
  <w:footnote w:type="continuationSeparator" w:id="0">
    <w:p w14:paraId="432CE810" w14:textId="77777777" w:rsidR="003713D7" w:rsidRDefault="003713D7"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64A8FEAD" w:rsidR="00922111" w:rsidRDefault="001C4325">
    <w:pPr>
      <w:pStyle w:val="Header"/>
    </w:pPr>
    <w:r w:rsidRPr="00605000">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FD1F60">
      <w:rPr>
        <w:sz w:val="36"/>
        <w:szCs w:val="36"/>
      </w:rPr>
      <w:t xml:space="preserve">Commercial Finance Manager </w:t>
    </w:r>
    <w:r w:rsidRPr="00605000">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1B3B66"/>
    <w:multiLevelType w:val="hybridMultilevel"/>
    <w:tmpl w:val="C3BC7DC2"/>
    <w:lvl w:ilvl="0" w:tplc="08090001">
      <w:start w:val="1"/>
      <w:numFmt w:val="bullet"/>
      <w:lvlText w:val=""/>
      <w:lvlJc w:val="left"/>
      <w:pPr>
        <w:ind w:left="720" w:hanging="360"/>
      </w:pPr>
      <w:rPr>
        <w:rFonts w:ascii="Symbol" w:hAnsi="Symbol" w:hint="default"/>
      </w:rPr>
    </w:lvl>
    <w:lvl w:ilvl="1" w:tplc="16947F26">
      <w:numFmt w:val="bullet"/>
      <w:lvlText w:val="·"/>
      <w:lvlJc w:val="left"/>
      <w:pPr>
        <w:ind w:left="1440" w:hanging="360"/>
      </w:pPr>
      <w:rPr>
        <w:rFonts w:ascii="Aptos" w:eastAsia="Times New Roman" w:hAnsi="Apto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2"/>
  </w:num>
  <w:num w:numId="5" w16cid:durableId="866797724">
    <w:abstractNumId w:val="34"/>
  </w:num>
  <w:num w:numId="6" w16cid:durableId="1135950697">
    <w:abstractNumId w:val="10"/>
  </w:num>
  <w:num w:numId="7" w16cid:durableId="354578352">
    <w:abstractNumId w:val="32"/>
  </w:num>
  <w:num w:numId="8" w16cid:durableId="1159466824">
    <w:abstractNumId w:val="20"/>
  </w:num>
  <w:num w:numId="9" w16cid:durableId="29308117">
    <w:abstractNumId w:val="14"/>
  </w:num>
  <w:num w:numId="10" w16cid:durableId="1097409886">
    <w:abstractNumId w:val="6"/>
  </w:num>
  <w:num w:numId="11" w16cid:durableId="1818690866">
    <w:abstractNumId w:val="27"/>
  </w:num>
  <w:num w:numId="12" w16cid:durableId="62532222">
    <w:abstractNumId w:val="31"/>
  </w:num>
  <w:num w:numId="13" w16cid:durableId="117457170">
    <w:abstractNumId w:val="24"/>
  </w:num>
  <w:num w:numId="14" w16cid:durableId="906644844">
    <w:abstractNumId w:val="9"/>
  </w:num>
  <w:num w:numId="15" w16cid:durableId="192813528">
    <w:abstractNumId w:val="26"/>
  </w:num>
  <w:num w:numId="16" w16cid:durableId="705257704">
    <w:abstractNumId w:val="25"/>
  </w:num>
  <w:num w:numId="17" w16cid:durableId="620304112">
    <w:abstractNumId w:val="5"/>
  </w:num>
  <w:num w:numId="18" w16cid:durableId="544483061">
    <w:abstractNumId w:val="23"/>
  </w:num>
  <w:num w:numId="19" w16cid:durableId="8219013">
    <w:abstractNumId w:val="7"/>
  </w:num>
  <w:num w:numId="20" w16cid:durableId="398600012">
    <w:abstractNumId w:val="8"/>
  </w:num>
  <w:num w:numId="21" w16cid:durableId="817184190">
    <w:abstractNumId w:val="13"/>
  </w:num>
  <w:num w:numId="22" w16cid:durableId="219756719">
    <w:abstractNumId w:val="21"/>
  </w:num>
  <w:num w:numId="23" w16cid:durableId="858160407">
    <w:abstractNumId w:val="30"/>
  </w:num>
  <w:num w:numId="24" w16cid:durableId="856574942">
    <w:abstractNumId w:val="11"/>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820467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75291"/>
    <w:rsid w:val="000835D1"/>
    <w:rsid w:val="000850D1"/>
    <w:rsid w:val="00091517"/>
    <w:rsid w:val="000A062E"/>
    <w:rsid w:val="000D4BBB"/>
    <w:rsid w:val="000E05D4"/>
    <w:rsid w:val="00124E54"/>
    <w:rsid w:val="00126EB9"/>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05A4C"/>
    <w:rsid w:val="0021071F"/>
    <w:rsid w:val="00210C87"/>
    <w:rsid w:val="00217DFB"/>
    <w:rsid w:val="00224024"/>
    <w:rsid w:val="00226638"/>
    <w:rsid w:val="00240C13"/>
    <w:rsid w:val="002506F3"/>
    <w:rsid w:val="002515BB"/>
    <w:rsid w:val="002653D3"/>
    <w:rsid w:val="00291C55"/>
    <w:rsid w:val="002A09A5"/>
    <w:rsid w:val="002E017E"/>
    <w:rsid w:val="00302835"/>
    <w:rsid w:val="003158BA"/>
    <w:rsid w:val="00323814"/>
    <w:rsid w:val="00325468"/>
    <w:rsid w:val="00342D33"/>
    <w:rsid w:val="00356F67"/>
    <w:rsid w:val="003713D7"/>
    <w:rsid w:val="003757A9"/>
    <w:rsid w:val="00381C34"/>
    <w:rsid w:val="003B1D59"/>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05000"/>
    <w:rsid w:val="00611632"/>
    <w:rsid w:val="00615055"/>
    <w:rsid w:val="00632AE1"/>
    <w:rsid w:val="00662608"/>
    <w:rsid w:val="006A6F7E"/>
    <w:rsid w:val="006C242C"/>
    <w:rsid w:val="006C5A15"/>
    <w:rsid w:val="006D0EAC"/>
    <w:rsid w:val="006E3DD7"/>
    <w:rsid w:val="006F3F2D"/>
    <w:rsid w:val="007033A5"/>
    <w:rsid w:val="00710148"/>
    <w:rsid w:val="007114FE"/>
    <w:rsid w:val="0073348F"/>
    <w:rsid w:val="00757F25"/>
    <w:rsid w:val="00760DE4"/>
    <w:rsid w:val="007968BE"/>
    <w:rsid w:val="007C3581"/>
    <w:rsid w:val="007E53CE"/>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1DCA"/>
    <w:rsid w:val="009D5305"/>
    <w:rsid w:val="009E14CB"/>
    <w:rsid w:val="009F07DC"/>
    <w:rsid w:val="009F0F66"/>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500D"/>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C62C6"/>
    <w:rsid w:val="00DE21F8"/>
    <w:rsid w:val="00E06EE2"/>
    <w:rsid w:val="00E437FA"/>
    <w:rsid w:val="00E60E70"/>
    <w:rsid w:val="00E7192D"/>
    <w:rsid w:val="00E7380E"/>
    <w:rsid w:val="00E74F6B"/>
    <w:rsid w:val="00E774C5"/>
    <w:rsid w:val="00E944B7"/>
    <w:rsid w:val="00E94BD1"/>
    <w:rsid w:val="00E96C1F"/>
    <w:rsid w:val="00EB40D2"/>
    <w:rsid w:val="00EB7989"/>
    <w:rsid w:val="00EE0F62"/>
    <w:rsid w:val="00EF632D"/>
    <w:rsid w:val="00F05C6E"/>
    <w:rsid w:val="00F722FB"/>
    <w:rsid w:val="00F8322A"/>
    <w:rsid w:val="00F91327"/>
    <w:rsid w:val="00FB244E"/>
    <w:rsid w:val="00FB7AE1"/>
    <w:rsid w:val="00FC4D31"/>
    <w:rsid w:val="00FD1F60"/>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NormalWeb">
    <w:name w:val="Normal (Web)"/>
    <w:basedOn w:val="Normal"/>
    <w:uiPriority w:val="99"/>
    <w:unhideWhenUsed/>
    <w:rsid w:val="00FD1F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366832384">
      <w:bodyDiv w:val="1"/>
      <w:marLeft w:val="0"/>
      <w:marRight w:val="0"/>
      <w:marTop w:val="0"/>
      <w:marBottom w:val="0"/>
      <w:divBdr>
        <w:top w:val="none" w:sz="0" w:space="0" w:color="auto"/>
        <w:left w:val="none" w:sz="0" w:space="0" w:color="auto"/>
        <w:bottom w:val="none" w:sz="0" w:space="0" w:color="auto"/>
        <w:right w:val="none" w:sz="0" w:space="0" w:color="auto"/>
      </w:divBdr>
    </w:div>
    <w:div w:id="982540853">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3" ma:contentTypeDescription="Create a new document." ma:contentTypeScope="" ma:versionID="b119816f865abc294739bb8398f7a259">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d5772bf4273405c8638d96213adf8c6f"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420E595D-65A4-41FA-9054-857116DF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Kelly Dowling</cp:lastModifiedBy>
  <cp:revision>2</cp:revision>
  <cp:lastPrinted>2021-09-02T13:31:00Z</cp:lastPrinted>
  <dcterms:created xsi:type="dcterms:W3CDTF">2025-05-01T10:50:00Z</dcterms:created>
  <dcterms:modified xsi:type="dcterms:W3CDTF">2025-05-01T10:50:00Z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